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B0B9F" w14:textId="6B2FFB7C" w:rsidR="001A07FC" w:rsidRDefault="001A07FC" w:rsidP="00990076">
      <w:pPr>
        <w:jc w:val="center"/>
        <w:rPr>
          <w:b/>
          <w:sz w:val="28"/>
          <w:szCs w:val="28"/>
        </w:rPr>
      </w:pPr>
      <w:r>
        <w:rPr>
          <w:b/>
          <w:noProof/>
          <w:sz w:val="28"/>
          <w:szCs w:val="28"/>
        </w:rPr>
        <w:drawing>
          <wp:inline distT="0" distB="0" distL="0" distR="0" wp14:anchorId="2ACFBE1B" wp14:editId="37B09AE5">
            <wp:extent cx="5731510" cy="3784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78460"/>
                    </a:xfrm>
                    <a:prstGeom prst="rect">
                      <a:avLst/>
                    </a:prstGeom>
                  </pic:spPr>
                </pic:pic>
              </a:graphicData>
            </a:graphic>
          </wp:inline>
        </w:drawing>
      </w:r>
    </w:p>
    <w:p w14:paraId="6C5E0D56" w14:textId="28634140" w:rsidR="00990076" w:rsidRPr="00990076" w:rsidRDefault="008A1C8A" w:rsidP="00990076">
      <w:pPr>
        <w:jc w:val="center"/>
        <w:rPr>
          <w:b/>
          <w:sz w:val="28"/>
          <w:szCs w:val="28"/>
        </w:rPr>
      </w:pPr>
      <w:r>
        <w:rPr>
          <w:b/>
          <w:sz w:val="28"/>
          <w:szCs w:val="28"/>
        </w:rPr>
        <w:t>Workshop:</w:t>
      </w:r>
      <w:r w:rsidRPr="00990076">
        <w:rPr>
          <w:b/>
          <w:sz w:val="28"/>
          <w:szCs w:val="28"/>
        </w:rPr>
        <w:t xml:space="preserve"> FOSTERING</w:t>
      </w:r>
      <w:r w:rsidR="00990076" w:rsidRPr="00990076">
        <w:rPr>
          <w:b/>
          <w:sz w:val="28"/>
          <w:szCs w:val="28"/>
        </w:rPr>
        <w:t xml:space="preserve"> A WATER, FOOD AND ENERGY SECURITY NEXUS AND MULTI-SECTOR INVESTMENT IN THE SADC REGION (PHASE II)</w:t>
      </w:r>
    </w:p>
    <w:p w14:paraId="6F3296D3" w14:textId="77777777" w:rsidR="00990076" w:rsidRPr="00990076" w:rsidRDefault="00990076" w:rsidP="00990076">
      <w:pPr>
        <w:jc w:val="both"/>
        <w:rPr>
          <w:b/>
        </w:rPr>
      </w:pPr>
    </w:p>
    <w:p w14:paraId="02D0FCCA" w14:textId="7445768D" w:rsidR="00990076" w:rsidRPr="00990076" w:rsidRDefault="00990076" w:rsidP="00990076">
      <w:pPr>
        <w:jc w:val="both"/>
        <w:rPr>
          <w:bCs/>
        </w:rPr>
      </w:pPr>
      <w:r w:rsidRPr="00990076">
        <w:rPr>
          <w:b/>
        </w:rPr>
        <w:t xml:space="preserve">Date: </w:t>
      </w:r>
      <w:r w:rsidR="0060061C">
        <w:rPr>
          <w:b/>
          <w:color w:val="0070C0"/>
        </w:rPr>
        <w:t>15</w:t>
      </w:r>
      <w:r w:rsidR="00624AAA" w:rsidRPr="00624AAA">
        <w:rPr>
          <w:b/>
          <w:color w:val="0070C0"/>
        </w:rPr>
        <w:t xml:space="preserve"> November</w:t>
      </w:r>
      <w:r w:rsidRPr="00624AAA">
        <w:rPr>
          <w:bCs/>
          <w:color w:val="0070C0"/>
        </w:rPr>
        <w:t xml:space="preserve"> </w:t>
      </w:r>
      <w:r w:rsidRPr="00624AAA">
        <w:rPr>
          <w:b/>
          <w:color w:val="0070C0"/>
        </w:rPr>
        <w:t>2021</w:t>
      </w:r>
    </w:p>
    <w:p w14:paraId="267E86A9" w14:textId="77777777" w:rsidR="00990076" w:rsidRPr="00990076" w:rsidRDefault="00990076" w:rsidP="00990076">
      <w:pPr>
        <w:jc w:val="both"/>
        <w:rPr>
          <w:b/>
        </w:rPr>
      </w:pPr>
      <w:r w:rsidRPr="00990076">
        <w:rPr>
          <w:b/>
        </w:rPr>
        <w:t>Time: 10:00 to 13:00 (CAT)</w:t>
      </w:r>
    </w:p>
    <w:p w14:paraId="5F00BA7E" w14:textId="77777777" w:rsidR="00990076" w:rsidRPr="00990076" w:rsidRDefault="00990076" w:rsidP="00990076">
      <w:pPr>
        <w:jc w:val="both"/>
      </w:pPr>
    </w:p>
    <w:p w14:paraId="39FF4DFD" w14:textId="77777777" w:rsidR="00990076" w:rsidRPr="00990076" w:rsidRDefault="00990076" w:rsidP="00990076">
      <w:pPr>
        <w:jc w:val="both"/>
      </w:pPr>
      <w:bookmarkStart w:id="0" w:name="_Hlk78084576"/>
      <w:r w:rsidRPr="00990076">
        <w:t>The SADC Nexus Dialogue Project "Fostering Water, Energy and Food Security Nexus Dialogue and Multi-Sector Investment in the SADC Region" is supported by the European Commission as part of the global 'Nexus Regional Dialogues Programme". The project's overall objective is to support the transformation required to meet increasing water, energy, and food security demand in the context of climate change in the SADC region by developing an integrated nexus approach. The project's specific objectives are to create an enabling environment that will drive cross-sectoral engagement and implementation of nexus investment projects that contribute to enhancing water, food, and energy security in the SADC region. The project began in 2017 and is being implemented in two phases.</w:t>
      </w:r>
    </w:p>
    <w:p w14:paraId="125FB110" w14:textId="77777777" w:rsidR="00990076" w:rsidRPr="00990076" w:rsidRDefault="00990076" w:rsidP="00990076">
      <w:pPr>
        <w:jc w:val="both"/>
      </w:pPr>
      <w:r w:rsidRPr="00990076">
        <w:t xml:space="preserve">Based on the successful outcomes of Phase 1, the SADC Nexus Project has now transitioned into Phase II. This phase will consolidate and build on the achievements of Phase I, with the overall objective being to institutionalise the WEF Nexus approach at regional and national governance structures and to support investment decisions for water, </w:t>
      </w:r>
      <w:proofErr w:type="gramStart"/>
      <w:r w:rsidRPr="00990076">
        <w:t>energy</w:t>
      </w:r>
      <w:proofErr w:type="gramEnd"/>
      <w:r w:rsidRPr="00990076">
        <w:t xml:space="preserve"> and food security in the SADC region. Phase II of the project has a duration of 3 years, commencing in 2020 until 2023. </w:t>
      </w:r>
    </w:p>
    <w:p w14:paraId="7C187798" w14:textId="77777777" w:rsidR="00990076" w:rsidRPr="00990076" w:rsidRDefault="00990076" w:rsidP="00990076">
      <w:pPr>
        <w:jc w:val="both"/>
      </w:pPr>
      <w:r w:rsidRPr="00990076">
        <w:t>The specific objectives of Phase II are to:</w:t>
      </w:r>
    </w:p>
    <w:p w14:paraId="51B0F8AE" w14:textId="77777777" w:rsidR="00990076" w:rsidRPr="00990076" w:rsidRDefault="00990076" w:rsidP="00990076">
      <w:pPr>
        <w:numPr>
          <w:ilvl w:val="1"/>
          <w:numId w:val="1"/>
        </w:numPr>
        <w:jc w:val="both"/>
      </w:pPr>
      <w:r w:rsidRPr="00990076">
        <w:t xml:space="preserve">Increase application of the Nexus approach in planning, </w:t>
      </w:r>
      <w:proofErr w:type="gramStart"/>
      <w:r w:rsidRPr="00990076">
        <w:t>policymaking</w:t>
      </w:r>
      <w:proofErr w:type="gramEnd"/>
      <w:r w:rsidRPr="00990076">
        <w:t xml:space="preserve"> and implementation and,</w:t>
      </w:r>
    </w:p>
    <w:p w14:paraId="0D410BCC" w14:textId="77777777" w:rsidR="00990076" w:rsidRPr="00990076" w:rsidRDefault="00990076" w:rsidP="00990076">
      <w:pPr>
        <w:numPr>
          <w:ilvl w:val="1"/>
          <w:numId w:val="1"/>
        </w:numPr>
        <w:jc w:val="both"/>
      </w:pPr>
      <w:r w:rsidRPr="00990076">
        <w:t>Increase interest from the public and private investors for projects applying the Nexus approach.</w:t>
      </w:r>
    </w:p>
    <w:p w14:paraId="136E49C2" w14:textId="77777777" w:rsidR="00990076" w:rsidRPr="00990076" w:rsidRDefault="00990076" w:rsidP="00990076">
      <w:pPr>
        <w:jc w:val="both"/>
      </w:pPr>
      <w:bookmarkStart w:id="1" w:name="_Hlk78084589"/>
      <w:bookmarkEnd w:id="0"/>
      <w:r w:rsidRPr="00990076">
        <w:t>As part of the Nexus Regional Dialogues Project, national dialogues are being organised for all 16 SADC Member States to strengthen capacity on the WEF Nexus, especially in conducting WEF nexus analysis to inform decision making.</w:t>
      </w:r>
      <w:bookmarkEnd w:id="1"/>
      <w:r w:rsidRPr="00990076">
        <w:t xml:space="preserve"> The overall objective of the SADC WEF Nexus National Dialogues is to identify national WEF nexus priorities and showcase the benefits of how improved sectoral coordination can accelerate national investment opportunities.</w:t>
      </w:r>
    </w:p>
    <w:p w14:paraId="0910573F" w14:textId="77777777" w:rsidR="00990076" w:rsidRPr="00990076" w:rsidRDefault="00990076" w:rsidP="00990076">
      <w:pPr>
        <w:jc w:val="both"/>
        <w:rPr>
          <w:lang w:bidi="en-ZA"/>
        </w:rPr>
      </w:pPr>
    </w:p>
    <w:p w14:paraId="52EFAF1A" w14:textId="77777777" w:rsidR="00990076" w:rsidRPr="00990076" w:rsidRDefault="00990076" w:rsidP="00990076">
      <w:pPr>
        <w:jc w:val="both"/>
      </w:pPr>
      <w:r w:rsidRPr="00990076">
        <w:rPr>
          <w:b/>
          <w:bCs/>
        </w:rPr>
        <w:t>Target</w:t>
      </w:r>
      <w:r w:rsidRPr="00990076">
        <w:t>: National institutions, implementing agencies, Academia, Business, Policy Makers, Practitioners, Civil society, Researchers, and Innovators</w:t>
      </w:r>
    </w:p>
    <w:p w14:paraId="501D6085" w14:textId="77777777" w:rsidR="00990076" w:rsidRPr="00990076" w:rsidRDefault="00990076" w:rsidP="00990076">
      <w:pPr>
        <w:jc w:val="both"/>
        <w:rPr>
          <w:b/>
          <w:bCs/>
          <w:u w:val="single"/>
        </w:rPr>
      </w:pPr>
      <w:r w:rsidRPr="00990076">
        <w:t xml:space="preserve"> </w:t>
      </w:r>
      <w:r w:rsidRPr="00990076">
        <w:rPr>
          <w:b/>
          <w:bCs/>
          <w:u w:val="single"/>
        </w:rPr>
        <w:br w:type="page"/>
      </w:r>
    </w:p>
    <w:p w14:paraId="120CB39F" w14:textId="4B03B302" w:rsidR="00990076" w:rsidRPr="00990076" w:rsidRDefault="00990076" w:rsidP="00990076">
      <w:r w:rsidRPr="00990076">
        <w:rPr>
          <w:b/>
          <w:bCs/>
          <w:u w:val="single"/>
        </w:rPr>
        <w:lastRenderedPageBreak/>
        <w:t>Facilitator</w:t>
      </w:r>
      <w:r w:rsidRPr="00990076">
        <w:t xml:space="preserve">: </w:t>
      </w:r>
      <w:r>
        <w:rPr>
          <w:b/>
          <w:bCs/>
        </w:rPr>
        <w:t>Prof Tafadzwa Mabhaudhi</w:t>
      </w:r>
    </w:p>
    <w:tbl>
      <w:tblPr>
        <w:tblStyle w:val="TableGrid"/>
        <w:tblW w:w="0" w:type="auto"/>
        <w:jc w:val="center"/>
        <w:tblLook w:val="04A0" w:firstRow="1" w:lastRow="0" w:firstColumn="1" w:lastColumn="0" w:noHBand="0" w:noVBand="1"/>
      </w:tblPr>
      <w:tblGrid>
        <w:gridCol w:w="1413"/>
        <w:gridCol w:w="3544"/>
        <w:gridCol w:w="4059"/>
      </w:tblGrid>
      <w:tr w:rsidR="00990076" w:rsidRPr="00990076" w14:paraId="16E1DE98" w14:textId="77777777" w:rsidTr="0039380A">
        <w:trPr>
          <w:trHeight w:val="401"/>
          <w:jc w:val="center"/>
        </w:trPr>
        <w:tc>
          <w:tcPr>
            <w:tcW w:w="1413" w:type="dxa"/>
            <w:vAlign w:val="center"/>
          </w:tcPr>
          <w:p w14:paraId="0C53A46B" w14:textId="77777777" w:rsidR="00990076" w:rsidRPr="00990076" w:rsidRDefault="00990076" w:rsidP="00990076">
            <w:pPr>
              <w:spacing w:line="259" w:lineRule="auto"/>
            </w:pPr>
            <w:r w:rsidRPr="00990076">
              <w:t>10:00-10:05</w:t>
            </w:r>
          </w:p>
        </w:tc>
        <w:tc>
          <w:tcPr>
            <w:tcW w:w="3544" w:type="dxa"/>
            <w:vAlign w:val="center"/>
          </w:tcPr>
          <w:p w14:paraId="7FD7658C" w14:textId="77777777" w:rsidR="00990076" w:rsidRPr="00990076" w:rsidRDefault="00990076" w:rsidP="00990076">
            <w:pPr>
              <w:spacing w:line="259" w:lineRule="auto"/>
            </w:pPr>
            <w:r w:rsidRPr="00990076">
              <w:t>Welcome</w:t>
            </w:r>
          </w:p>
        </w:tc>
        <w:tc>
          <w:tcPr>
            <w:tcW w:w="4059" w:type="dxa"/>
            <w:vAlign w:val="center"/>
          </w:tcPr>
          <w:p w14:paraId="17E75E70" w14:textId="77777777" w:rsidR="00990076" w:rsidRDefault="00990076" w:rsidP="00990076">
            <w:pPr>
              <w:spacing w:line="259" w:lineRule="auto"/>
              <w:rPr>
                <w:b/>
                <w:bCs/>
              </w:rPr>
            </w:pPr>
            <w:r>
              <w:rPr>
                <w:b/>
                <w:bCs/>
              </w:rPr>
              <w:t>Prof Sylvester Mpandeli</w:t>
            </w:r>
          </w:p>
          <w:p w14:paraId="437266E3" w14:textId="0DC76BFD" w:rsidR="00D438E9" w:rsidRPr="00990076" w:rsidRDefault="00D438E9" w:rsidP="00990076">
            <w:pPr>
              <w:spacing w:line="259" w:lineRule="auto"/>
            </w:pPr>
            <w:r>
              <w:t>Water Research Commission of South Africa</w:t>
            </w:r>
          </w:p>
        </w:tc>
      </w:tr>
      <w:tr w:rsidR="00990076" w:rsidRPr="00990076" w14:paraId="7C84011D" w14:textId="77777777" w:rsidTr="0039380A">
        <w:trPr>
          <w:trHeight w:val="406"/>
          <w:jc w:val="center"/>
        </w:trPr>
        <w:tc>
          <w:tcPr>
            <w:tcW w:w="1413" w:type="dxa"/>
            <w:vAlign w:val="center"/>
          </w:tcPr>
          <w:p w14:paraId="722535AC" w14:textId="77777777" w:rsidR="00990076" w:rsidRPr="00990076" w:rsidRDefault="00990076" w:rsidP="00990076">
            <w:pPr>
              <w:spacing w:line="259" w:lineRule="auto"/>
            </w:pPr>
            <w:r w:rsidRPr="00990076">
              <w:t>10:05-10:15</w:t>
            </w:r>
          </w:p>
        </w:tc>
        <w:tc>
          <w:tcPr>
            <w:tcW w:w="3544" w:type="dxa"/>
            <w:vAlign w:val="center"/>
          </w:tcPr>
          <w:p w14:paraId="1888FA21" w14:textId="77777777" w:rsidR="00990076" w:rsidRPr="00990076" w:rsidRDefault="00990076" w:rsidP="00990076">
            <w:pPr>
              <w:spacing w:line="259" w:lineRule="auto"/>
            </w:pPr>
            <w:r w:rsidRPr="00990076">
              <w:t>Opening address</w:t>
            </w:r>
          </w:p>
        </w:tc>
        <w:tc>
          <w:tcPr>
            <w:tcW w:w="4059" w:type="dxa"/>
            <w:vAlign w:val="center"/>
          </w:tcPr>
          <w:p w14:paraId="63A32E00" w14:textId="77777777" w:rsidR="00990076" w:rsidRPr="00D438E9" w:rsidRDefault="00D438E9" w:rsidP="00990076">
            <w:pPr>
              <w:spacing w:line="259" w:lineRule="auto"/>
              <w:rPr>
                <w:b/>
                <w:bCs/>
              </w:rPr>
            </w:pPr>
            <w:r w:rsidRPr="00D438E9">
              <w:rPr>
                <w:b/>
                <w:bCs/>
              </w:rPr>
              <w:t>Kidane Jembere</w:t>
            </w:r>
          </w:p>
          <w:p w14:paraId="78A56797" w14:textId="25F62225" w:rsidR="00D438E9" w:rsidRPr="00990076" w:rsidRDefault="00D438E9" w:rsidP="00990076">
            <w:pPr>
              <w:spacing w:line="259" w:lineRule="auto"/>
            </w:pPr>
            <w:r>
              <w:t>Global Water Partnership</w:t>
            </w:r>
          </w:p>
        </w:tc>
      </w:tr>
      <w:tr w:rsidR="00990076" w:rsidRPr="00990076" w14:paraId="4B8C6BE2" w14:textId="77777777" w:rsidTr="0039380A">
        <w:trPr>
          <w:trHeight w:val="406"/>
          <w:jc w:val="center"/>
        </w:trPr>
        <w:tc>
          <w:tcPr>
            <w:tcW w:w="1413" w:type="dxa"/>
            <w:vAlign w:val="center"/>
          </w:tcPr>
          <w:p w14:paraId="6F2BC013" w14:textId="77777777" w:rsidR="00990076" w:rsidRPr="00990076" w:rsidRDefault="00990076" w:rsidP="00990076">
            <w:pPr>
              <w:spacing w:line="259" w:lineRule="auto"/>
            </w:pPr>
            <w:r w:rsidRPr="00990076">
              <w:t>10:15-10:45</w:t>
            </w:r>
          </w:p>
        </w:tc>
        <w:tc>
          <w:tcPr>
            <w:tcW w:w="3544" w:type="dxa"/>
            <w:vAlign w:val="center"/>
          </w:tcPr>
          <w:p w14:paraId="7C74938E" w14:textId="77777777" w:rsidR="00990076" w:rsidRPr="00990076" w:rsidRDefault="00990076" w:rsidP="00990076">
            <w:pPr>
              <w:spacing w:line="259" w:lineRule="auto"/>
            </w:pPr>
            <w:r w:rsidRPr="00990076">
              <w:t xml:space="preserve">Keynote address: </w:t>
            </w:r>
            <w:r w:rsidRPr="00990076">
              <w:rPr>
                <w:b/>
                <w:lang w:bidi="en-ZA"/>
              </w:rPr>
              <w:t>WEF Nexus Country Background Paper</w:t>
            </w:r>
          </w:p>
        </w:tc>
        <w:tc>
          <w:tcPr>
            <w:tcW w:w="4059" w:type="dxa"/>
            <w:vAlign w:val="center"/>
          </w:tcPr>
          <w:p w14:paraId="4C96D0C3" w14:textId="77777777" w:rsidR="00990076" w:rsidRDefault="00990076" w:rsidP="00990076">
            <w:pPr>
              <w:spacing w:line="259" w:lineRule="auto"/>
              <w:rPr>
                <w:b/>
                <w:bCs/>
              </w:rPr>
            </w:pPr>
            <w:r>
              <w:rPr>
                <w:b/>
                <w:bCs/>
              </w:rPr>
              <w:t>Prof Tafadzwa Mabhaudhi</w:t>
            </w:r>
          </w:p>
          <w:p w14:paraId="0436F61D" w14:textId="330D8422" w:rsidR="00990076" w:rsidRPr="00D438E9" w:rsidRDefault="00990076" w:rsidP="00990076">
            <w:pPr>
              <w:spacing w:line="259" w:lineRule="auto"/>
            </w:pPr>
            <w:r w:rsidRPr="00D438E9">
              <w:t>University of KwaZulu-Natal</w:t>
            </w:r>
          </w:p>
        </w:tc>
      </w:tr>
      <w:tr w:rsidR="00D438E9" w:rsidRPr="00990076" w14:paraId="7CCDBFF1" w14:textId="77777777" w:rsidTr="0039380A">
        <w:trPr>
          <w:trHeight w:val="406"/>
          <w:jc w:val="center"/>
        </w:trPr>
        <w:tc>
          <w:tcPr>
            <w:tcW w:w="1413" w:type="dxa"/>
            <w:vAlign w:val="center"/>
          </w:tcPr>
          <w:p w14:paraId="451BC715" w14:textId="74DBB690" w:rsidR="00D438E9" w:rsidRPr="00990076" w:rsidRDefault="00D438E9" w:rsidP="00990076">
            <w:r>
              <w:t>10:45:11:00</w:t>
            </w:r>
          </w:p>
        </w:tc>
        <w:tc>
          <w:tcPr>
            <w:tcW w:w="3544" w:type="dxa"/>
            <w:vAlign w:val="center"/>
          </w:tcPr>
          <w:p w14:paraId="55B15BB3" w14:textId="7B73ABE9" w:rsidR="00D438E9" w:rsidRPr="00990076" w:rsidRDefault="00D438E9" w:rsidP="00990076">
            <w:r>
              <w:t>WEF nexus case study: Mpumalanga</w:t>
            </w:r>
          </w:p>
        </w:tc>
        <w:tc>
          <w:tcPr>
            <w:tcW w:w="4059" w:type="dxa"/>
            <w:vAlign w:val="center"/>
          </w:tcPr>
          <w:p w14:paraId="3305584D" w14:textId="77777777" w:rsidR="00D438E9" w:rsidRDefault="00D438E9" w:rsidP="00990076">
            <w:pPr>
              <w:rPr>
                <w:b/>
                <w:bCs/>
              </w:rPr>
            </w:pPr>
            <w:r>
              <w:rPr>
                <w:b/>
                <w:bCs/>
              </w:rPr>
              <w:t>Dr Gareth Simpson</w:t>
            </w:r>
          </w:p>
          <w:p w14:paraId="1017D186" w14:textId="33E43BE1" w:rsidR="00D438E9" w:rsidRPr="00D438E9" w:rsidRDefault="00D438E9" w:rsidP="00990076">
            <w:r w:rsidRPr="00D438E9">
              <w:t>Jones &amp; Wagener Engineering Associates</w:t>
            </w:r>
          </w:p>
        </w:tc>
      </w:tr>
      <w:tr w:rsidR="00990076" w:rsidRPr="00990076" w14:paraId="5223A29F" w14:textId="77777777" w:rsidTr="0039380A">
        <w:trPr>
          <w:trHeight w:val="2694"/>
          <w:jc w:val="center"/>
        </w:trPr>
        <w:tc>
          <w:tcPr>
            <w:tcW w:w="1413" w:type="dxa"/>
            <w:vAlign w:val="center"/>
          </w:tcPr>
          <w:p w14:paraId="6513A387" w14:textId="3741BCD8" w:rsidR="00990076" w:rsidRPr="00990076" w:rsidRDefault="00990076" w:rsidP="00990076">
            <w:pPr>
              <w:spacing w:line="259" w:lineRule="auto"/>
            </w:pPr>
            <w:r w:rsidRPr="00990076">
              <w:t>1</w:t>
            </w:r>
            <w:r w:rsidR="00D438E9">
              <w:t>1</w:t>
            </w:r>
            <w:r w:rsidRPr="00990076">
              <w:t>:</w:t>
            </w:r>
            <w:r w:rsidR="00D438E9">
              <w:t>00</w:t>
            </w:r>
            <w:r w:rsidRPr="00990076">
              <w:t>-11:45</w:t>
            </w:r>
          </w:p>
        </w:tc>
        <w:tc>
          <w:tcPr>
            <w:tcW w:w="3544" w:type="dxa"/>
            <w:vAlign w:val="center"/>
          </w:tcPr>
          <w:p w14:paraId="3D75577F" w14:textId="77777777" w:rsidR="00990076" w:rsidRPr="00990076" w:rsidRDefault="00990076" w:rsidP="00990076">
            <w:pPr>
              <w:spacing w:line="259" w:lineRule="auto"/>
            </w:pPr>
            <w:r w:rsidRPr="00990076">
              <w:t xml:space="preserve">Panel discussion: </w:t>
            </w:r>
            <w:r w:rsidRPr="00990076">
              <w:rPr>
                <w:b/>
                <w:bCs/>
              </w:rPr>
              <w:t>sector</w:t>
            </w:r>
            <w:r w:rsidRPr="00990076">
              <w:t xml:space="preserve"> </w:t>
            </w:r>
            <w:r w:rsidRPr="00990076">
              <w:rPr>
                <w:b/>
              </w:rPr>
              <w:t xml:space="preserve">perspectives and responses to the WEF Nexus Background Paper </w:t>
            </w:r>
          </w:p>
        </w:tc>
        <w:tc>
          <w:tcPr>
            <w:tcW w:w="4059" w:type="dxa"/>
            <w:vAlign w:val="center"/>
          </w:tcPr>
          <w:p w14:paraId="59AA7ABA" w14:textId="2915A075" w:rsidR="00990076" w:rsidRPr="00794D2E" w:rsidRDefault="00990076" w:rsidP="00990076">
            <w:pPr>
              <w:spacing w:line="259" w:lineRule="auto"/>
              <w:rPr>
                <w:b/>
                <w:bCs/>
              </w:rPr>
            </w:pPr>
            <w:r w:rsidRPr="00990076">
              <w:rPr>
                <w:b/>
                <w:bCs/>
              </w:rPr>
              <w:t xml:space="preserve">Chair: </w:t>
            </w:r>
            <w:r w:rsidR="00624AAA" w:rsidRPr="00794D2E">
              <w:rPr>
                <w:b/>
                <w:bCs/>
              </w:rPr>
              <w:t>Prof Sylvester Mpandeli</w:t>
            </w:r>
          </w:p>
          <w:p w14:paraId="7C33185E" w14:textId="77777777" w:rsidR="00990076" w:rsidRPr="00794D2E" w:rsidRDefault="00990076" w:rsidP="00990076">
            <w:pPr>
              <w:spacing w:line="259" w:lineRule="auto"/>
              <w:rPr>
                <w:b/>
                <w:bCs/>
              </w:rPr>
            </w:pPr>
            <w:r w:rsidRPr="00794D2E">
              <w:rPr>
                <w:b/>
                <w:bCs/>
              </w:rPr>
              <w:t>Panellists:</w:t>
            </w:r>
          </w:p>
          <w:p w14:paraId="4F3AD671" w14:textId="7C84EFD5" w:rsidR="00990076" w:rsidRPr="00794D2E" w:rsidRDefault="0060061C" w:rsidP="003602A5">
            <w:pPr>
              <w:pStyle w:val="ListParagraph"/>
              <w:numPr>
                <w:ilvl w:val="0"/>
                <w:numId w:val="4"/>
              </w:numPr>
            </w:pPr>
            <w:r>
              <w:t>Siboniso Ndlovu</w:t>
            </w:r>
            <w:r w:rsidR="002113D2" w:rsidRPr="00794D2E">
              <w:t xml:space="preserve">: </w:t>
            </w:r>
            <w:r w:rsidR="00D56B77">
              <w:t>Water (DWS)</w:t>
            </w:r>
          </w:p>
          <w:p w14:paraId="1F41967A" w14:textId="50299007" w:rsidR="00990076" w:rsidRPr="00794D2E" w:rsidRDefault="003602A5" w:rsidP="003602A5">
            <w:pPr>
              <w:pStyle w:val="ListParagraph"/>
              <w:numPr>
                <w:ilvl w:val="0"/>
                <w:numId w:val="4"/>
              </w:numPr>
            </w:pPr>
            <w:r w:rsidRPr="00794D2E">
              <w:t xml:space="preserve">Steven Mathetsa - </w:t>
            </w:r>
            <w:r w:rsidR="00990076" w:rsidRPr="00794D2E">
              <w:t xml:space="preserve">Energy </w:t>
            </w:r>
            <w:r w:rsidR="00D56B77">
              <w:t>(ESKOM)</w:t>
            </w:r>
          </w:p>
          <w:p w14:paraId="32368F9A" w14:textId="64C5C823" w:rsidR="00990076" w:rsidRPr="00990076" w:rsidRDefault="002113D2" w:rsidP="003602A5">
            <w:pPr>
              <w:pStyle w:val="ListParagraph"/>
              <w:numPr>
                <w:ilvl w:val="0"/>
                <w:numId w:val="4"/>
              </w:numPr>
            </w:pPr>
            <w:proofErr w:type="spellStart"/>
            <w:r w:rsidRPr="00794D2E">
              <w:t>No</w:t>
            </w:r>
            <w:r w:rsidR="00115883" w:rsidRPr="00794D2E">
              <w:t>mvu</w:t>
            </w:r>
            <w:r w:rsidR="00333739">
              <w:t>z</w:t>
            </w:r>
            <w:r w:rsidR="00AB41F8" w:rsidRPr="00794D2E">
              <w:t>o</w:t>
            </w:r>
            <w:proofErr w:type="spellEnd"/>
            <w:r w:rsidR="00115883" w:rsidRPr="00794D2E">
              <w:t xml:space="preserve"> </w:t>
            </w:r>
            <w:proofErr w:type="spellStart"/>
            <w:r w:rsidR="00115883" w:rsidRPr="00794D2E">
              <w:t>Mja</w:t>
            </w:r>
            <w:r w:rsidR="00333739">
              <w:t>d</w:t>
            </w:r>
            <w:r w:rsidR="00115883" w:rsidRPr="00794D2E">
              <w:t>u</w:t>
            </w:r>
            <w:proofErr w:type="spellEnd"/>
            <w:r w:rsidR="00115883" w:rsidRPr="00794D2E">
              <w:t xml:space="preserve">: </w:t>
            </w:r>
            <w:r w:rsidR="00990076" w:rsidRPr="00794D2E">
              <w:t>A</w:t>
            </w:r>
            <w:r w:rsidR="00990076" w:rsidRPr="00990076">
              <w:t xml:space="preserve">griculture </w:t>
            </w:r>
            <w:r w:rsidR="00E6632A">
              <w:t>(DALR</w:t>
            </w:r>
            <w:r w:rsidR="00927E1B">
              <w:t>RD)</w:t>
            </w:r>
            <w:r w:rsidR="00990076" w:rsidRPr="00990076">
              <w:t xml:space="preserve"> </w:t>
            </w:r>
          </w:p>
          <w:p w14:paraId="722FD325" w14:textId="697239AC" w:rsidR="00990076" w:rsidRPr="00990076" w:rsidRDefault="00794D2E" w:rsidP="003602A5">
            <w:pPr>
              <w:pStyle w:val="ListParagraph"/>
              <w:numPr>
                <w:ilvl w:val="0"/>
                <w:numId w:val="4"/>
              </w:numPr>
            </w:pPr>
            <w:r>
              <w:t>Mahlodi Tau</w:t>
            </w:r>
            <w:r w:rsidR="00FA0DB2">
              <w:t xml:space="preserve">: </w:t>
            </w:r>
            <w:r w:rsidR="00990076" w:rsidRPr="00990076">
              <w:t>Environment</w:t>
            </w:r>
            <w:r w:rsidR="00126CDC">
              <w:t xml:space="preserve"> (DEFF)</w:t>
            </w:r>
            <w:r w:rsidR="00990076" w:rsidRPr="00990076">
              <w:t xml:space="preserve"> </w:t>
            </w:r>
          </w:p>
          <w:p w14:paraId="2FC4283B" w14:textId="0691F85E" w:rsidR="00990076" w:rsidRPr="00990076" w:rsidRDefault="00794D2E" w:rsidP="003602A5">
            <w:pPr>
              <w:pStyle w:val="ListParagraph"/>
              <w:numPr>
                <w:ilvl w:val="0"/>
                <w:numId w:val="4"/>
              </w:numPr>
            </w:pPr>
            <w:r>
              <w:t>Elizabeth Lutge</w:t>
            </w:r>
            <w:r w:rsidR="000C203C">
              <w:t xml:space="preserve">: </w:t>
            </w:r>
            <w:r w:rsidR="00990076" w:rsidRPr="00990076">
              <w:t>Health Sector</w:t>
            </w:r>
          </w:p>
          <w:p w14:paraId="13482798" w14:textId="0B47CAA9" w:rsidR="00990076" w:rsidRPr="00990076" w:rsidRDefault="00794D2E" w:rsidP="003602A5">
            <w:pPr>
              <w:pStyle w:val="ListParagraph"/>
              <w:numPr>
                <w:ilvl w:val="0"/>
                <w:numId w:val="4"/>
              </w:numPr>
            </w:pPr>
            <w:r>
              <w:t>TBC</w:t>
            </w:r>
            <w:r w:rsidR="000C203C">
              <w:t xml:space="preserve">: </w:t>
            </w:r>
            <w:r w:rsidR="00990076" w:rsidRPr="00990076">
              <w:t>Finance Sector</w:t>
            </w:r>
          </w:p>
        </w:tc>
      </w:tr>
      <w:tr w:rsidR="00990076" w:rsidRPr="00990076" w14:paraId="6C7C0128" w14:textId="77777777" w:rsidTr="0039380A">
        <w:trPr>
          <w:trHeight w:val="611"/>
          <w:jc w:val="center"/>
        </w:trPr>
        <w:tc>
          <w:tcPr>
            <w:tcW w:w="1413" w:type="dxa"/>
            <w:vAlign w:val="center"/>
          </w:tcPr>
          <w:p w14:paraId="3C2294A4" w14:textId="77777777" w:rsidR="00990076" w:rsidRPr="00990076" w:rsidRDefault="00990076" w:rsidP="00990076">
            <w:pPr>
              <w:spacing w:line="259" w:lineRule="auto"/>
            </w:pPr>
            <w:r w:rsidRPr="00990076">
              <w:t>11:45-12:15</w:t>
            </w:r>
          </w:p>
        </w:tc>
        <w:tc>
          <w:tcPr>
            <w:tcW w:w="3544" w:type="dxa"/>
            <w:vAlign w:val="center"/>
          </w:tcPr>
          <w:p w14:paraId="15AD1A1E" w14:textId="77777777" w:rsidR="00990076" w:rsidRPr="00990076" w:rsidRDefault="00990076" w:rsidP="00990076">
            <w:pPr>
              <w:spacing w:line="259" w:lineRule="auto"/>
            </w:pPr>
            <w:r w:rsidRPr="00990076">
              <w:t>Breakout Rooms</w:t>
            </w:r>
          </w:p>
        </w:tc>
        <w:tc>
          <w:tcPr>
            <w:tcW w:w="4059" w:type="dxa"/>
            <w:vAlign w:val="center"/>
          </w:tcPr>
          <w:p w14:paraId="2CCFAFC4" w14:textId="77777777" w:rsidR="00990076" w:rsidRPr="00990076" w:rsidRDefault="00990076" w:rsidP="00990076">
            <w:pPr>
              <w:numPr>
                <w:ilvl w:val="0"/>
                <w:numId w:val="2"/>
              </w:numPr>
              <w:spacing w:after="160" w:line="259" w:lineRule="auto"/>
            </w:pPr>
            <w:r w:rsidRPr="00990076">
              <w:t>WEF Nexus Investment Opportunities</w:t>
            </w:r>
          </w:p>
          <w:p w14:paraId="3696B4E4" w14:textId="77777777" w:rsidR="00990076" w:rsidRPr="00990076" w:rsidRDefault="00990076" w:rsidP="00990076">
            <w:pPr>
              <w:numPr>
                <w:ilvl w:val="0"/>
                <w:numId w:val="2"/>
              </w:numPr>
              <w:spacing w:after="160" w:line="259" w:lineRule="auto"/>
            </w:pPr>
            <w:r w:rsidRPr="00990076">
              <w:t>WEF Nexus Capacities</w:t>
            </w:r>
          </w:p>
          <w:p w14:paraId="4EA65BA1" w14:textId="77777777" w:rsidR="00990076" w:rsidRPr="00990076" w:rsidRDefault="00990076" w:rsidP="00990076">
            <w:pPr>
              <w:numPr>
                <w:ilvl w:val="0"/>
                <w:numId w:val="2"/>
              </w:numPr>
              <w:spacing w:after="160" w:line="259" w:lineRule="auto"/>
            </w:pPr>
            <w:r w:rsidRPr="00990076">
              <w:t>WEF Nexus Awareness</w:t>
            </w:r>
          </w:p>
          <w:p w14:paraId="5F16104B" w14:textId="07738183" w:rsidR="00990076" w:rsidRPr="00990076" w:rsidRDefault="00990076" w:rsidP="00990076">
            <w:pPr>
              <w:numPr>
                <w:ilvl w:val="0"/>
                <w:numId w:val="2"/>
              </w:numPr>
              <w:spacing w:after="160" w:line="259" w:lineRule="auto"/>
            </w:pPr>
            <w:r w:rsidRPr="00990076">
              <w:t xml:space="preserve">Policy, </w:t>
            </w:r>
            <w:r w:rsidR="002914B7" w:rsidRPr="00990076">
              <w:t>Planning,</w:t>
            </w:r>
            <w:r w:rsidRPr="00990076">
              <w:t xml:space="preserve"> and Implementation</w:t>
            </w:r>
          </w:p>
        </w:tc>
      </w:tr>
      <w:tr w:rsidR="00990076" w:rsidRPr="00990076" w14:paraId="686A49B8" w14:textId="77777777" w:rsidTr="0039380A">
        <w:trPr>
          <w:trHeight w:val="611"/>
          <w:jc w:val="center"/>
        </w:trPr>
        <w:tc>
          <w:tcPr>
            <w:tcW w:w="1413" w:type="dxa"/>
            <w:vAlign w:val="center"/>
          </w:tcPr>
          <w:p w14:paraId="6C455BA8" w14:textId="77777777" w:rsidR="00990076" w:rsidRPr="00990076" w:rsidRDefault="00990076" w:rsidP="00990076">
            <w:pPr>
              <w:spacing w:line="259" w:lineRule="auto"/>
            </w:pPr>
            <w:r w:rsidRPr="00990076">
              <w:t>12:15-12:45</w:t>
            </w:r>
          </w:p>
        </w:tc>
        <w:tc>
          <w:tcPr>
            <w:tcW w:w="3544" w:type="dxa"/>
            <w:vAlign w:val="center"/>
          </w:tcPr>
          <w:p w14:paraId="3BDA2D40" w14:textId="77777777" w:rsidR="00990076" w:rsidRPr="00990076" w:rsidRDefault="00990076" w:rsidP="00990076">
            <w:pPr>
              <w:spacing w:line="259" w:lineRule="auto"/>
            </w:pPr>
            <w:r w:rsidRPr="00990076">
              <w:t>Discussion</w:t>
            </w:r>
          </w:p>
        </w:tc>
        <w:tc>
          <w:tcPr>
            <w:tcW w:w="4059" w:type="dxa"/>
            <w:vAlign w:val="center"/>
          </w:tcPr>
          <w:p w14:paraId="3C06B569" w14:textId="77777777" w:rsidR="00990076" w:rsidRPr="00990076" w:rsidRDefault="00990076" w:rsidP="00990076">
            <w:pPr>
              <w:spacing w:line="259" w:lineRule="auto"/>
              <w:rPr>
                <w:b/>
                <w:bCs/>
              </w:rPr>
            </w:pPr>
            <w:r w:rsidRPr="00990076">
              <w:rPr>
                <w:b/>
                <w:bCs/>
              </w:rPr>
              <w:t>All</w:t>
            </w:r>
          </w:p>
        </w:tc>
      </w:tr>
      <w:tr w:rsidR="00990076" w:rsidRPr="00990076" w14:paraId="2C4349DD" w14:textId="77777777" w:rsidTr="0039380A">
        <w:trPr>
          <w:trHeight w:val="406"/>
          <w:jc w:val="center"/>
        </w:trPr>
        <w:tc>
          <w:tcPr>
            <w:tcW w:w="1413" w:type="dxa"/>
            <w:vAlign w:val="center"/>
          </w:tcPr>
          <w:p w14:paraId="509B0A1C" w14:textId="77777777" w:rsidR="00990076" w:rsidRPr="00990076" w:rsidRDefault="00990076" w:rsidP="00990076">
            <w:pPr>
              <w:spacing w:line="259" w:lineRule="auto"/>
            </w:pPr>
            <w:r w:rsidRPr="00990076">
              <w:t>12:45-13:00</w:t>
            </w:r>
          </w:p>
        </w:tc>
        <w:tc>
          <w:tcPr>
            <w:tcW w:w="3544" w:type="dxa"/>
            <w:vAlign w:val="center"/>
          </w:tcPr>
          <w:p w14:paraId="66DFAE15" w14:textId="77777777" w:rsidR="00990076" w:rsidRPr="00990076" w:rsidRDefault="00990076" w:rsidP="00990076">
            <w:pPr>
              <w:spacing w:line="259" w:lineRule="auto"/>
            </w:pPr>
            <w:r w:rsidRPr="00990076">
              <w:t>Closure/way-forward</w:t>
            </w:r>
          </w:p>
        </w:tc>
        <w:tc>
          <w:tcPr>
            <w:tcW w:w="4059" w:type="dxa"/>
            <w:vAlign w:val="center"/>
          </w:tcPr>
          <w:p w14:paraId="497210FE" w14:textId="77777777" w:rsidR="00990076" w:rsidRDefault="00990076" w:rsidP="00990076">
            <w:pPr>
              <w:spacing w:line="259" w:lineRule="auto"/>
              <w:rPr>
                <w:b/>
                <w:bCs/>
              </w:rPr>
            </w:pPr>
            <w:r>
              <w:rPr>
                <w:b/>
                <w:bCs/>
              </w:rPr>
              <w:t>Prof Tafadzwa Mabhaudhi</w:t>
            </w:r>
          </w:p>
          <w:p w14:paraId="106FCE20" w14:textId="3802B458" w:rsidR="00990076" w:rsidRPr="00D438E9" w:rsidRDefault="00990076" w:rsidP="00990076">
            <w:pPr>
              <w:spacing w:line="259" w:lineRule="auto"/>
            </w:pPr>
            <w:r w:rsidRPr="00D438E9">
              <w:t>University of KwaZulu-Natal</w:t>
            </w:r>
          </w:p>
        </w:tc>
      </w:tr>
    </w:tbl>
    <w:p w14:paraId="3BB136B2" w14:textId="77777777" w:rsidR="00990076" w:rsidRPr="00990076" w:rsidRDefault="00990076" w:rsidP="00990076"/>
    <w:p w14:paraId="56745389" w14:textId="77777777" w:rsidR="006B1B8D" w:rsidRDefault="006B1B8D"/>
    <w:sectPr w:rsidR="006B1B8D" w:rsidSect="00894DD7">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74F98"/>
    <w:multiLevelType w:val="hybridMultilevel"/>
    <w:tmpl w:val="68DC4B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142132A"/>
    <w:multiLevelType w:val="hybridMultilevel"/>
    <w:tmpl w:val="7A06DE9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61750B1"/>
    <w:multiLevelType w:val="hybridMultilevel"/>
    <w:tmpl w:val="B4B27DB6"/>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E9101F5"/>
    <w:multiLevelType w:val="hybridMultilevel"/>
    <w:tmpl w:val="93FA6338"/>
    <w:lvl w:ilvl="0" w:tplc="C4A8F266">
      <w:start w:val="1"/>
      <w:numFmt w:val="decimal"/>
      <w:lvlText w:val="%1"/>
      <w:lvlJc w:val="left"/>
      <w:pPr>
        <w:ind w:left="532" w:hanging="432"/>
      </w:pPr>
      <w:rPr>
        <w:rFonts w:ascii="Calibri" w:eastAsia="Calibri" w:hAnsi="Calibri" w:cs="Calibri" w:hint="default"/>
        <w:b/>
        <w:bCs/>
        <w:i w:val="0"/>
        <w:iCs w:val="0"/>
        <w:w w:val="100"/>
        <w:sz w:val="28"/>
        <w:szCs w:val="28"/>
        <w:lang w:val="en-ZA" w:eastAsia="en-US" w:bidi="ar-SA"/>
      </w:rPr>
    </w:lvl>
    <w:lvl w:ilvl="1" w:tplc="1C090017">
      <w:start w:val="1"/>
      <w:numFmt w:val="lowerLetter"/>
      <w:lvlText w:val="%2)"/>
      <w:lvlJc w:val="left"/>
      <w:pPr>
        <w:ind w:left="820" w:hanging="360"/>
      </w:pPr>
      <w:rPr>
        <w:rFonts w:hint="default"/>
        <w:b w:val="0"/>
        <w:bCs w:val="0"/>
        <w:i w:val="0"/>
        <w:iCs w:val="0"/>
        <w:w w:val="100"/>
        <w:sz w:val="22"/>
        <w:szCs w:val="22"/>
        <w:lang w:val="en-ZA" w:eastAsia="en-US" w:bidi="ar-SA"/>
      </w:rPr>
    </w:lvl>
    <w:lvl w:ilvl="2" w:tplc="0C86C084">
      <w:numFmt w:val="bullet"/>
      <w:lvlText w:val="•"/>
      <w:lvlJc w:val="left"/>
      <w:pPr>
        <w:ind w:left="1180" w:hanging="360"/>
      </w:pPr>
      <w:rPr>
        <w:rFonts w:hint="default"/>
        <w:lang w:val="en-ZA" w:eastAsia="en-US" w:bidi="ar-SA"/>
      </w:rPr>
    </w:lvl>
    <w:lvl w:ilvl="3" w:tplc="215C157C">
      <w:numFmt w:val="bullet"/>
      <w:lvlText w:val="•"/>
      <w:lvlJc w:val="left"/>
      <w:pPr>
        <w:ind w:left="2250" w:hanging="360"/>
      </w:pPr>
      <w:rPr>
        <w:rFonts w:hint="default"/>
        <w:lang w:val="en-ZA" w:eastAsia="en-US" w:bidi="ar-SA"/>
      </w:rPr>
    </w:lvl>
    <w:lvl w:ilvl="4" w:tplc="8CBCAD9C">
      <w:numFmt w:val="bullet"/>
      <w:lvlText w:val="•"/>
      <w:lvlJc w:val="left"/>
      <w:pPr>
        <w:ind w:left="3321" w:hanging="360"/>
      </w:pPr>
      <w:rPr>
        <w:rFonts w:hint="default"/>
        <w:lang w:val="en-ZA" w:eastAsia="en-US" w:bidi="ar-SA"/>
      </w:rPr>
    </w:lvl>
    <w:lvl w:ilvl="5" w:tplc="CE7CDF96">
      <w:numFmt w:val="bullet"/>
      <w:lvlText w:val="•"/>
      <w:lvlJc w:val="left"/>
      <w:pPr>
        <w:ind w:left="4392" w:hanging="360"/>
      </w:pPr>
      <w:rPr>
        <w:rFonts w:hint="default"/>
        <w:lang w:val="en-ZA" w:eastAsia="en-US" w:bidi="ar-SA"/>
      </w:rPr>
    </w:lvl>
    <w:lvl w:ilvl="6" w:tplc="FDC6378C">
      <w:numFmt w:val="bullet"/>
      <w:lvlText w:val="•"/>
      <w:lvlJc w:val="left"/>
      <w:pPr>
        <w:ind w:left="5463" w:hanging="360"/>
      </w:pPr>
      <w:rPr>
        <w:rFonts w:hint="default"/>
        <w:lang w:val="en-ZA" w:eastAsia="en-US" w:bidi="ar-SA"/>
      </w:rPr>
    </w:lvl>
    <w:lvl w:ilvl="7" w:tplc="59B85828">
      <w:numFmt w:val="bullet"/>
      <w:lvlText w:val="•"/>
      <w:lvlJc w:val="left"/>
      <w:pPr>
        <w:ind w:left="6534" w:hanging="360"/>
      </w:pPr>
      <w:rPr>
        <w:rFonts w:hint="default"/>
        <w:lang w:val="en-ZA" w:eastAsia="en-US" w:bidi="ar-SA"/>
      </w:rPr>
    </w:lvl>
    <w:lvl w:ilvl="8" w:tplc="7194C116">
      <w:numFmt w:val="bullet"/>
      <w:lvlText w:val="•"/>
      <w:lvlJc w:val="left"/>
      <w:pPr>
        <w:ind w:left="7604" w:hanging="360"/>
      </w:pPr>
      <w:rPr>
        <w:rFonts w:hint="default"/>
        <w:lang w:val="en-ZA"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2MzCwNDWwtDCzMDRS0lEKTi0uzszPAykwqQUAF47D1ywAAAA="/>
  </w:docVars>
  <w:rsids>
    <w:rsidRoot w:val="00990076"/>
    <w:rsid w:val="000C203C"/>
    <w:rsid w:val="00115883"/>
    <w:rsid w:val="00126CDC"/>
    <w:rsid w:val="001A07FC"/>
    <w:rsid w:val="002113D2"/>
    <w:rsid w:val="002914B7"/>
    <w:rsid w:val="003213A9"/>
    <w:rsid w:val="00333739"/>
    <w:rsid w:val="003602A5"/>
    <w:rsid w:val="00470B15"/>
    <w:rsid w:val="00496C4D"/>
    <w:rsid w:val="0060061C"/>
    <w:rsid w:val="00624AAA"/>
    <w:rsid w:val="006B1B8D"/>
    <w:rsid w:val="007625C1"/>
    <w:rsid w:val="00791551"/>
    <w:rsid w:val="00794D2E"/>
    <w:rsid w:val="008A1C8A"/>
    <w:rsid w:val="00927E1B"/>
    <w:rsid w:val="00990076"/>
    <w:rsid w:val="00AB41F8"/>
    <w:rsid w:val="00B473AD"/>
    <w:rsid w:val="00D438E9"/>
    <w:rsid w:val="00D56B77"/>
    <w:rsid w:val="00E6632A"/>
    <w:rsid w:val="00FA0D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4039"/>
  <w15:chartTrackingRefBased/>
  <w15:docId w15:val="{823672BC-A7A2-4C9A-864F-79CC793D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0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Anja Van Der Merwe</cp:lastModifiedBy>
  <cp:revision>2</cp:revision>
  <dcterms:created xsi:type="dcterms:W3CDTF">2021-10-15T09:07:00Z</dcterms:created>
  <dcterms:modified xsi:type="dcterms:W3CDTF">2021-10-15T09:07:00Z</dcterms:modified>
</cp:coreProperties>
</file>